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is kelp?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Long, green, freshwater algae.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Long, brown, marine algae.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Large, brown, freshwater algae.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Large, green, marine algae.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None of the above.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firstLine="720"/>
        <w:contextualSpacing w:val="0"/>
      </w:pPr>
      <w:r w:rsidDel="00000000" w:rsidR="00000000" w:rsidRPr="00000000">
        <w:rPr>
          <w:sz w:val="26"/>
          <w:szCs w:val="26"/>
          <w:rtl w:val="0"/>
        </w:rPr>
        <w:t xml:space="preserve">Use the following image to answer questions 2, 3, and 4.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left="720" w:firstLine="0"/>
        <w:contextualSpacing w:val="0"/>
      </w:pPr>
      <w:r w:rsidDel="00000000" w:rsidR="00000000" w:rsidRPr="00000000">
        <w:drawing>
          <wp:inline distB="19050" distT="19050" distL="19050" distR="19050">
            <wp:extent cx="2228850" cy="1962150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Look at the picture. Explain how the holdfast helps the kelp survive in the ocean.</w:t>
        <w:tab/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Look at the picture. What part of the kelp is similar to a plant’s “stem?” What is this part used for?</w:t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Look at the picture. Explain what would happen to the kelp if it loses all of its gas bladders.</w:t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What problems would a young kelp face if the bottom of the ocean floor is covered in algae and invertebrates?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kelp may be eating by other algae.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kelp may not have space to photosynthesize.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kelp may not be able to settle and grow.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kelp might be dragged down to the bottom by the invertebrates.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Both a and b.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Explain how marine fish use the middle area of the kelp forests.</w:t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How is the canopy area of the kelp forests formed?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stipes stick close together to form the canopy.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tops of the kelp float to the surface to form a blanket.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holdfasts of the kelp detach so the float to the surface.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Marine fish chew the blades of the kelp off so they float to the surface to form the canopy.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None of the above.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Explain why the canopy is a suitable breeding ground for many marine fish.</w:t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line="276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line="276" w:lineRule="auto"/>
        <w:ind w:left="72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Why does the kelp need to float to the top of the sea?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it can be warm.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it can draw oxygen from the air.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it can photosynthesize.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 it can provide a breeding ground for marine fish.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spacing w:line="276" w:lineRule="auto"/>
        <w:ind w:left="1440" w:hanging="360"/>
        <w:contextualSpacing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of the above.</w:t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ind w:left="-1440" w:firstLine="0"/>
      <w:contextualSpacing w:val="0"/>
      <w:jc w:val="center"/>
    </w:pPr>
    <w:r w:rsidDel="00000000" w:rsidR="00000000" w:rsidRPr="00000000">
      <w:drawing>
        <wp:inline distB="114300" distT="114300" distL="114300" distR="114300">
          <wp:extent cx="8029053" cy="738188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9053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line="240" w:lineRule="auto"/>
      <w:ind w:lef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  <w:contextualSpacing w:val="1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  <w:contextualSpacing w:val="1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5" Type="http://schemas.openxmlformats.org/officeDocument/2006/relationships/image" Target="media/image03.jpg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